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1990B" w14:textId="77777777" w:rsidR="00D805B3" w:rsidRPr="00404DA0" w:rsidRDefault="00D805B3" w:rsidP="00D805B3">
      <w:pPr>
        <w:spacing w:before="165" w:after="150" w:line="240" w:lineRule="auto"/>
        <w:outlineLvl w:val="4"/>
        <w:rPr>
          <w:rFonts w:ascii="titilliumweb-sb" w:eastAsia="Times New Roman" w:hAnsi="titilliumweb-sb" w:cs="Times New Roman"/>
          <w:color w:val="0066CC"/>
          <w:sz w:val="29"/>
          <w:szCs w:val="29"/>
          <w:lang w:eastAsia="it-IT"/>
        </w:rPr>
      </w:pPr>
      <w:r>
        <w:rPr>
          <w:rFonts w:ascii="titilliumweb-r" w:hAnsi="titilliumweb-r"/>
          <w:color w:val="212121"/>
          <w:shd w:val="clear" w:color="auto" w:fill="FFFFFF"/>
        </w:rPr>
        <w:t xml:space="preserve">ERASMUS + - Azione Chiave 2 – Partnership for </w:t>
      </w:r>
      <w:proofErr w:type="spellStart"/>
      <w:r>
        <w:rPr>
          <w:rFonts w:ascii="titilliumweb-r" w:hAnsi="titilliumweb-r"/>
          <w:color w:val="212121"/>
          <w:shd w:val="clear" w:color="auto" w:fill="FFFFFF"/>
        </w:rPr>
        <w:t>cooperation</w:t>
      </w:r>
      <w:proofErr w:type="spellEnd"/>
      <w:r>
        <w:rPr>
          <w:rFonts w:ascii="titilliumweb-r" w:hAnsi="titilliumweb-r"/>
          <w:color w:val="212121"/>
          <w:shd w:val="clear" w:color="auto" w:fill="FFFFFF"/>
        </w:rPr>
        <w:t xml:space="preserve"> - Progetto ENRICH</w:t>
      </w:r>
    </w:p>
    <w:p w14:paraId="5031990C" w14:textId="77777777" w:rsidR="00D805B3" w:rsidRPr="00404DA0"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Descrizione sintetica dell'attività con eventuale indicazione dell'area tematica di riferimento</w:t>
      </w:r>
    </w:p>
    <w:p w14:paraId="5031990D" w14:textId="0426EB0B" w:rsidR="00D805B3" w:rsidRPr="00404DA0"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Il patrimonio culturale, materiale e immateriale, dell'Europa è la nostra ricchezza comune: "il retaggio delle generazioni di europei che ci hanno preceduto e il nostro lascito ai posteri”. Il Progetto ENRICH unisce partner ubicati lungo gli itinerari riconosciuti dal Consiglio d'Europa che rappresentano, nelle varie epoche della storia continentale, elementi fondanti dell’humus culturale, architettonico, urbanistico e delle dinamiche sociali che reggono oggi la società europea. Nell’ultima decade, l’UE ha prestato una sempre maggiore attenzione al patrimonio culturale quale driver di crescita economica, occupazione e coesione sociale, al punto di cristallizzare l’interesse a livello di TFUE. Il Progetto focalizza sul patrimonio culturale </w:t>
      </w:r>
      <w:r w:rsidR="004C21B4">
        <w:rPr>
          <w:rFonts w:ascii="titilliumweb-r" w:eastAsia="Times New Roman" w:hAnsi="titilliumweb-r" w:cs="Times New Roman"/>
          <w:color w:val="212121"/>
          <w:sz w:val="24"/>
          <w:szCs w:val="24"/>
          <w:lang w:eastAsia="it-IT"/>
        </w:rPr>
        <w:t>uno</w:t>
      </w:r>
      <w:r w:rsidRPr="00404DA0">
        <w:rPr>
          <w:rFonts w:ascii="titilliumweb-r" w:eastAsia="Times New Roman" w:hAnsi="titilliumweb-r" w:cs="Times New Roman"/>
          <w:color w:val="212121"/>
          <w:sz w:val="24"/>
          <w:szCs w:val="24"/>
          <w:lang w:eastAsia="it-IT"/>
        </w:rPr>
        <w:t xml:space="preserve"> strumento potente che infonde nei cittadini europei il senso dell'appartenenza comune: il focus sugli itinerari d'Europa e le testimonianze tangibili che questi hanno lasciato sui territori ha una valenza identitaria rilevante sulla quale costruire la cittadinanza europea attiva. Il primo valore aggiunto europeo del progetto consiste proprio nella promozione della diversità culturale e del dialogo interculturale che sono alla base del processo di integrazione UE: approfondire la conoscenza degli itinerari europei per acquisire competenze di cittadinanza europea, sviluppare tolleranza ed accettazione dell’altro, promuovere integrazione e multiculturalità rappresenta una priorità. Inoltre, tutti gli </w:t>
      </w:r>
      <w:proofErr w:type="spellStart"/>
      <w:r w:rsidRPr="00404DA0">
        <w:rPr>
          <w:rFonts w:ascii="titilliumweb-r" w:eastAsia="Times New Roman" w:hAnsi="titilliumweb-r" w:cs="Times New Roman"/>
          <w:color w:val="212121"/>
          <w:sz w:val="24"/>
          <w:szCs w:val="24"/>
          <w:lang w:eastAsia="it-IT"/>
        </w:rPr>
        <w:t>outcomes</w:t>
      </w:r>
      <w:proofErr w:type="spellEnd"/>
      <w:r w:rsidRPr="00404DA0">
        <w:rPr>
          <w:rFonts w:ascii="titilliumweb-r" w:eastAsia="Times New Roman" w:hAnsi="titilliumweb-r" w:cs="Times New Roman"/>
          <w:color w:val="212121"/>
          <w:sz w:val="24"/>
          <w:szCs w:val="24"/>
          <w:lang w:eastAsia="it-IT"/>
        </w:rPr>
        <w:t xml:space="preserve"> del progetto (le </w:t>
      </w:r>
      <w:proofErr w:type="spellStart"/>
      <w:r w:rsidRPr="00404DA0">
        <w:rPr>
          <w:rFonts w:ascii="titilliumweb-r" w:eastAsia="Times New Roman" w:hAnsi="titilliumweb-r" w:cs="Times New Roman"/>
          <w:color w:val="212121"/>
          <w:sz w:val="24"/>
          <w:szCs w:val="24"/>
          <w:lang w:eastAsia="it-IT"/>
        </w:rPr>
        <w:t>UdA</w:t>
      </w:r>
      <w:proofErr w:type="spellEnd"/>
      <w:r w:rsidRPr="00404DA0">
        <w:rPr>
          <w:rFonts w:ascii="titilliumweb-r" w:eastAsia="Times New Roman" w:hAnsi="titilliumweb-r" w:cs="Times New Roman"/>
          <w:color w:val="212121"/>
          <w:sz w:val="24"/>
          <w:szCs w:val="24"/>
          <w:lang w:eastAsia="it-IT"/>
        </w:rPr>
        <w:t>, le rappresentazioni teatrali e le idee imprenditoriali di valorizzazione) avranno un'attenzione particolare all'inclusione. Il secondo aspetto affrontato è il potenziale economico che risiede nella valorizzazione del patrimonio culturale legato agli itinerari d'Europa. Gli alunni si cimenteranno nella generazione d'idee per imprese culturali e creative basate su quanto appreso, sviluppando competenze di autoimprenditorialità. Infine, il terzo elemento consiste nell’incorporazione di innovativi strumenti ICT per la fruizione e valorizzazione del patrimonio materiale e immateriale: la digitalizzazione moltiplica le possibilità di accesso al patrimonio culturale e coinvolge i giovani, rivoluzionando il loro approccio alla tematica.</w:t>
      </w:r>
    </w:p>
    <w:p w14:paraId="5031990E" w14:textId="77777777" w:rsidR="00D805B3" w:rsidRPr="00404DA0" w:rsidRDefault="00D805B3" w:rsidP="00D805B3">
      <w:pPr>
        <w:spacing w:after="0" w:line="240" w:lineRule="auto"/>
        <w:rPr>
          <w:rFonts w:ascii="Times New Roman" w:eastAsia="Times New Roman" w:hAnsi="Times New Roman" w:cs="Times New Roman"/>
          <w:sz w:val="24"/>
          <w:szCs w:val="24"/>
          <w:lang w:eastAsia="it-IT"/>
        </w:rPr>
      </w:pPr>
    </w:p>
    <w:p w14:paraId="5031990F" w14:textId="77777777" w:rsidR="00D805B3" w:rsidRPr="00830D33" w:rsidRDefault="00D805B3" w:rsidP="00D805B3">
      <w:pPr>
        <w:spacing w:after="0" w:line="240" w:lineRule="auto"/>
        <w:rPr>
          <w:rFonts w:ascii="titilliumweb-r" w:eastAsia="Times New Roman" w:hAnsi="titilliumweb-r" w:cs="Times New Roman"/>
          <w:b/>
          <w:bCs/>
          <w:color w:val="212121"/>
          <w:sz w:val="24"/>
          <w:szCs w:val="24"/>
          <w:lang w:eastAsia="it-IT"/>
        </w:rPr>
      </w:pPr>
      <w:r w:rsidRPr="00830D33">
        <w:rPr>
          <w:rFonts w:ascii="titilliumweb-r" w:eastAsia="Times New Roman" w:hAnsi="titilliumweb-r" w:cs="Times New Roman"/>
          <w:b/>
          <w:bCs/>
          <w:color w:val="212121"/>
          <w:sz w:val="24"/>
          <w:szCs w:val="24"/>
          <w:lang w:eastAsia="it-IT"/>
        </w:rPr>
        <w:t>Obiettivi formativi prioritari del PTOF collegati all'attività</w:t>
      </w:r>
    </w:p>
    <w:p w14:paraId="50319910" w14:textId="77777777" w:rsidR="00D805B3" w:rsidRDefault="00D805B3" w:rsidP="00D805B3">
      <w:pPr>
        <w:spacing w:after="0" w:line="240" w:lineRule="auto"/>
        <w:rPr>
          <w:rFonts w:ascii="titilliumweb-r" w:eastAsia="Times New Roman" w:hAnsi="titilliumweb-r" w:cs="Times New Roman"/>
          <w:color w:val="212121"/>
          <w:sz w:val="24"/>
          <w:szCs w:val="24"/>
          <w:lang w:eastAsia="it-IT"/>
        </w:rPr>
      </w:pPr>
    </w:p>
    <w:p w14:paraId="50319911" w14:textId="77777777" w:rsidR="00D805B3" w:rsidRPr="00830D33" w:rsidRDefault="00D805B3" w:rsidP="00D805B3">
      <w:pPr>
        <w:spacing w:after="330" w:line="240" w:lineRule="auto"/>
        <w:jc w:val="both"/>
        <w:rPr>
          <w:rFonts w:ascii="Times New Roman" w:eastAsia="Times New Roman" w:hAnsi="Times New Roman" w:cs="Times New Roman"/>
          <w:sz w:val="24"/>
          <w:szCs w:val="24"/>
          <w:lang w:eastAsia="it-IT"/>
        </w:rPr>
      </w:pPr>
      <w:r w:rsidRPr="00830D33">
        <w:rPr>
          <w:rFonts w:ascii="Times New Roman" w:eastAsia="Times New Roman" w:hAnsi="Times New Roman" w:cs="Times New Roman"/>
          <w:sz w:val="24"/>
          <w:szCs w:val="24"/>
          <w:lang w:eastAsia="it-IT"/>
        </w:rPr>
        <w:t xml:space="preserve">Valorizzazione e potenziamento delle competenze linguistiche, con particolare riferimento all'italiano nonché alla lingua inglese e ad altre lingue dell'Unione europea, anche mediante l'utilizzo della metodologia Content </w:t>
      </w:r>
      <w:proofErr w:type="spellStart"/>
      <w:r w:rsidRPr="00830D33">
        <w:rPr>
          <w:rFonts w:ascii="Times New Roman" w:eastAsia="Times New Roman" w:hAnsi="Times New Roman" w:cs="Times New Roman"/>
          <w:sz w:val="24"/>
          <w:szCs w:val="24"/>
          <w:lang w:eastAsia="it-IT"/>
        </w:rPr>
        <w:t>language</w:t>
      </w:r>
      <w:proofErr w:type="spellEnd"/>
      <w:r w:rsidRPr="00830D33">
        <w:rPr>
          <w:rFonts w:ascii="Times New Roman" w:eastAsia="Times New Roman" w:hAnsi="Times New Roman" w:cs="Times New Roman"/>
          <w:sz w:val="24"/>
          <w:szCs w:val="24"/>
          <w:lang w:eastAsia="it-IT"/>
        </w:rPr>
        <w:t xml:space="preserve"> </w:t>
      </w:r>
      <w:proofErr w:type="spellStart"/>
      <w:r w:rsidRPr="00830D33">
        <w:rPr>
          <w:rFonts w:ascii="Times New Roman" w:eastAsia="Times New Roman" w:hAnsi="Times New Roman" w:cs="Times New Roman"/>
          <w:sz w:val="24"/>
          <w:szCs w:val="24"/>
          <w:lang w:eastAsia="it-IT"/>
        </w:rPr>
        <w:t>integrated</w:t>
      </w:r>
      <w:proofErr w:type="spellEnd"/>
      <w:r w:rsidRPr="00830D33">
        <w:rPr>
          <w:rFonts w:ascii="Times New Roman" w:eastAsia="Times New Roman" w:hAnsi="Times New Roman" w:cs="Times New Roman"/>
          <w:sz w:val="24"/>
          <w:szCs w:val="24"/>
          <w:lang w:eastAsia="it-IT"/>
        </w:rPr>
        <w:t xml:space="preserve"> learning.</w:t>
      </w:r>
    </w:p>
    <w:p w14:paraId="50319912" w14:textId="77777777" w:rsidR="00D805B3" w:rsidRPr="00830D33" w:rsidRDefault="00D805B3" w:rsidP="00D805B3">
      <w:pPr>
        <w:spacing w:after="330" w:line="240" w:lineRule="auto"/>
        <w:jc w:val="both"/>
        <w:rPr>
          <w:rFonts w:ascii="Times New Roman" w:eastAsia="Times New Roman" w:hAnsi="Times New Roman" w:cs="Times New Roman"/>
          <w:sz w:val="24"/>
          <w:szCs w:val="24"/>
          <w:lang w:eastAsia="it-IT"/>
        </w:rPr>
      </w:pPr>
      <w:r w:rsidRPr="00830D33">
        <w:rPr>
          <w:rFonts w:ascii="Times New Roman" w:eastAsia="Times New Roman" w:hAnsi="Times New Roman" w:cs="Times New Roman"/>
          <w:sz w:val="24"/>
          <w:szCs w:val="24"/>
          <w:lang w:eastAsia="it-IT"/>
        </w:rPr>
        <w:t>Sviluppo di comportamenti responsabili ispirati alla conoscenza e al rispetto della legalità, della sostenibilità ambientale, dei beni paesaggistici, del patrimonio e delle attività culturali.</w:t>
      </w:r>
    </w:p>
    <w:p w14:paraId="50319913" w14:textId="77777777" w:rsidR="00D805B3" w:rsidRPr="00830D33" w:rsidRDefault="00D805B3" w:rsidP="00D805B3">
      <w:pPr>
        <w:spacing w:after="330" w:line="240" w:lineRule="auto"/>
        <w:jc w:val="both"/>
        <w:rPr>
          <w:rFonts w:ascii="Times New Roman" w:eastAsia="Times New Roman" w:hAnsi="Times New Roman" w:cs="Times New Roman"/>
          <w:sz w:val="24"/>
          <w:szCs w:val="24"/>
          <w:lang w:eastAsia="it-IT"/>
        </w:rPr>
      </w:pPr>
      <w:r w:rsidRPr="00830D33">
        <w:rPr>
          <w:rFonts w:ascii="Times New Roman" w:eastAsia="Times New Roman" w:hAnsi="Times New Roman" w:cs="Times New Roman"/>
          <w:sz w:val="24"/>
          <w:szCs w:val="24"/>
          <w:lang w:eastAsia="it-IT"/>
        </w:rPr>
        <w:t>Sviluppo di comportamenti responsabili ispirati alla conoscenza e al rispetto della legalità, della sostenibilità ambientale, dei beni paesaggistici, del patrimonio e delle attività culturali.</w:t>
      </w:r>
    </w:p>
    <w:p w14:paraId="50319914" w14:textId="77777777" w:rsidR="00D805B3" w:rsidRPr="00830D33" w:rsidRDefault="00D805B3" w:rsidP="00D805B3">
      <w:pPr>
        <w:spacing w:after="330" w:line="240" w:lineRule="auto"/>
        <w:jc w:val="both"/>
        <w:rPr>
          <w:rFonts w:ascii="Times New Roman" w:eastAsia="Times New Roman" w:hAnsi="Times New Roman" w:cs="Times New Roman"/>
          <w:sz w:val="24"/>
          <w:szCs w:val="24"/>
          <w:lang w:eastAsia="it-IT"/>
        </w:rPr>
      </w:pPr>
      <w:r w:rsidRPr="00830D33">
        <w:rPr>
          <w:rFonts w:ascii="Times New Roman" w:eastAsia="Times New Roman" w:hAnsi="Times New Roman" w:cs="Times New Roman"/>
          <w:sz w:val="24"/>
          <w:szCs w:val="24"/>
          <w:lang w:eastAsia="it-IT"/>
        </w:rPr>
        <w:t>Valorizzazione della scuola intesa come comunità attiva, aperta al territorio e in grado di sviluppare e aumentare l'interazione con le famiglie e con la comunità locale, comprese le organizzazioni del terzo settore e le imprese.</w:t>
      </w:r>
    </w:p>
    <w:p w14:paraId="50319915" w14:textId="77777777" w:rsidR="00D805B3" w:rsidRPr="00830D33" w:rsidRDefault="00D805B3" w:rsidP="00D805B3">
      <w:pPr>
        <w:spacing w:after="330" w:line="240" w:lineRule="auto"/>
        <w:jc w:val="both"/>
        <w:rPr>
          <w:rFonts w:ascii="Times New Roman" w:eastAsia="Times New Roman" w:hAnsi="Times New Roman" w:cs="Times New Roman"/>
          <w:sz w:val="24"/>
          <w:szCs w:val="24"/>
          <w:lang w:eastAsia="it-IT"/>
        </w:rPr>
      </w:pPr>
      <w:r w:rsidRPr="00830D33">
        <w:rPr>
          <w:rFonts w:ascii="Times New Roman" w:eastAsia="Times New Roman" w:hAnsi="Times New Roman" w:cs="Times New Roman"/>
          <w:sz w:val="24"/>
          <w:szCs w:val="24"/>
          <w:lang w:eastAsia="it-IT"/>
        </w:rPr>
        <w:t>Individuazione di percorsi e di sistemi funzionali alla premialità e alla valorizzazione del merito degli alunni e degli studenti.</w:t>
      </w:r>
    </w:p>
    <w:p w14:paraId="50319916" w14:textId="77777777" w:rsidR="00D805B3" w:rsidRPr="005547ED" w:rsidRDefault="00D805B3" w:rsidP="00D805B3">
      <w:pPr>
        <w:spacing w:after="330" w:line="240" w:lineRule="auto"/>
        <w:rPr>
          <w:rFonts w:ascii="Times New Roman" w:eastAsia="Times New Roman" w:hAnsi="Times New Roman" w:cs="Times New Roman"/>
          <w:sz w:val="16"/>
          <w:szCs w:val="16"/>
          <w:lang w:eastAsia="it-IT"/>
        </w:rPr>
      </w:pPr>
    </w:p>
    <w:p w14:paraId="50319917" w14:textId="77777777" w:rsidR="00D805B3" w:rsidRPr="00830D33" w:rsidRDefault="00D805B3" w:rsidP="00D805B3">
      <w:pPr>
        <w:spacing w:after="0" w:line="240" w:lineRule="auto"/>
        <w:rPr>
          <w:rFonts w:ascii="titilliumweb-r" w:eastAsia="Times New Roman" w:hAnsi="titilliumweb-r" w:cs="Times New Roman"/>
          <w:b/>
          <w:bCs/>
          <w:color w:val="212121"/>
          <w:sz w:val="24"/>
          <w:szCs w:val="24"/>
          <w:lang w:eastAsia="it-IT"/>
        </w:rPr>
      </w:pPr>
      <w:r w:rsidRPr="00830D33">
        <w:rPr>
          <w:rFonts w:ascii="titilliumweb-r" w:eastAsia="Times New Roman" w:hAnsi="titilliumweb-r" w:cs="Times New Roman"/>
          <w:b/>
          <w:bCs/>
          <w:color w:val="212121"/>
          <w:sz w:val="24"/>
          <w:szCs w:val="24"/>
          <w:lang w:eastAsia="it-IT"/>
        </w:rPr>
        <w:t>Risultati Attesi</w:t>
      </w:r>
    </w:p>
    <w:p w14:paraId="50319918"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lastRenderedPageBreak/>
        <w:t>Le finalità generali sono:</w:t>
      </w:r>
    </w:p>
    <w:p w14:paraId="50319919"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 - aumentare la consapevolezza sull’importanza del patrimonio culturale europeo come veicolo di inclusione sociale, motore di occupazione e crescita economica; </w:t>
      </w:r>
    </w:p>
    <w:p w14:paraId="5031991A"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 promuovere nuovi approcci partecipativi ed inclusivi per la fruizione e la valorizzazione del patrimonio legato ai popoli che hanno abitato il territorio europeo nella storia, anche attraverso l’uso di ICT; </w:t>
      </w:r>
    </w:p>
    <w:p w14:paraId="5031991B"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 promuovere il dialogo interculturale attraverso la conoscenza delle tradizioni, dei costumi e degli usi dei popoli del passato e come questi hanno lasciato traccia nella cultura attuale. Gli obiettivi specifici sono: </w:t>
      </w:r>
    </w:p>
    <w:p w14:paraId="5031991C"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 approfondire le competenze interculturali, digitali, imprenditoriali e trasversali di tutti gli alunni, nonché sviluppare il loro senso di appartenenza all’UE, attraverso la realizzazione di itinerari di approfondimento del patrimonio culturale tangibile ed intangibile legato ai popoli del passato; </w:t>
      </w:r>
    </w:p>
    <w:p w14:paraId="5031991D"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 formare i docenti di varie discipline all’utilizzo di ICT per la fruizione del patrimonio culturale ed immateriale del proprio territorio e alla </w:t>
      </w:r>
      <w:proofErr w:type="spellStart"/>
      <w:r w:rsidRPr="00404DA0">
        <w:rPr>
          <w:rFonts w:ascii="titilliumweb-r" w:eastAsia="Times New Roman" w:hAnsi="titilliumweb-r" w:cs="Times New Roman"/>
          <w:color w:val="212121"/>
          <w:sz w:val="24"/>
          <w:szCs w:val="24"/>
          <w:lang w:eastAsia="it-IT"/>
        </w:rPr>
        <w:t>mentorship</w:t>
      </w:r>
      <w:proofErr w:type="spellEnd"/>
      <w:r w:rsidRPr="00404DA0">
        <w:rPr>
          <w:rFonts w:ascii="titilliumweb-r" w:eastAsia="Times New Roman" w:hAnsi="titilliumweb-r" w:cs="Times New Roman"/>
          <w:color w:val="212121"/>
          <w:sz w:val="24"/>
          <w:szCs w:val="24"/>
          <w:lang w:eastAsia="it-IT"/>
        </w:rPr>
        <w:t xml:space="preserve"> per lo sviluppo delle competenze imprenditoriali e di cittadinanza degli alunni contribuendo così a rispondere alle priorità UE selezionate. </w:t>
      </w:r>
    </w:p>
    <w:p w14:paraId="5031991E"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Numerosi risultati saranno raggiunti sul fronte dei learning </w:t>
      </w:r>
      <w:proofErr w:type="spellStart"/>
      <w:r w:rsidRPr="00404DA0">
        <w:rPr>
          <w:rFonts w:ascii="titilliumweb-r" w:eastAsia="Times New Roman" w:hAnsi="titilliumweb-r" w:cs="Times New Roman"/>
          <w:color w:val="212121"/>
          <w:sz w:val="24"/>
          <w:szCs w:val="24"/>
          <w:lang w:eastAsia="it-IT"/>
        </w:rPr>
        <w:t>outcomes</w:t>
      </w:r>
      <w:proofErr w:type="spellEnd"/>
      <w:r w:rsidRPr="00404DA0">
        <w:rPr>
          <w:rFonts w:ascii="titilliumweb-r" w:eastAsia="Times New Roman" w:hAnsi="titilliumweb-r" w:cs="Times New Roman"/>
          <w:color w:val="212121"/>
          <w:sz w:val="24"/>
          <w:szCs w:val="24"/>
          <w:lang w:eastAsia="it-IT"/>
        </w:rPr>
        <w:t xml:space="preserve">, sia per alunni che docenti direttamente coinvolti. Gli alunni: </w:t>
      </w:r>
    </w:p>
    <w:p w14:paraId="5031991F"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 Acquisiranno un’approfondita conoscenza di storia e cultura degli itinerari europei e dell’eredità lasciata nella società contemporanea, in termini tangibili (i.e. beni culturali) e intangibili (i.e. tradizioni); </w:t>
      </w:r>
    </w:p>
    <w:p w14:paraId="50319920"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 Miglioreranno le competenze chiave e trasversali in funzione dell’occupabilità (es. lavorare in </w:t>
      </w:r>
      <w:proofErr w:type="gramStart"/>
      <w:r w:rsidRPr="00404DA0">
        <w:rPr>
          <w:rFonts w:ascii="titilliumweb-r" w:eastAsia="Times New Roman" w:hAnsi="titilliumweb-r" w:cs="Times New Roman"/>
          <w:color w:val="212121"/>
          <w:sz w:val="24"/>
          <w:szCs w:val="24"/>
          <w:lang w:eastAsia="it-IT"/>
        </w:rPr>
        <w:t>team</w:t>
      </w:r>
      <w:proofErr w:type="gramEnd"/>
      <w:r w:rsidRPr="00404DA0">
        <w:rPr>
          <w:rFonts w:ascii="titilliumweb-r" w:eastAsia="Times New Roman" w:hAnsi="titilliumweb-r" w:cs="Times New Roman"/>
          <w:color w:val="212121"/>
          <w:sz w:val="24"/>
          <w:szCs w:val="24"/>
          <w:lang w:eastAsia="it-IT"/>
        </w:rPr>
        <w:t>) e le competenze di cittadinanza UE (es. multiculturali, dialogo, tolleranza);</w:t>
      </w:r>
    </w:p>
    <w:p w14:paraId="50319921"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 - Approfondiranno le competenze linguistiche in inglese, lingua veicolare; </w:t>
      </w:r>
    </w:p>
    <w:p w14:paraId="50319922"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 Acquisiranno competenze digitali ed </w:t>
      </w:r>
      <w:proofErr w:type="spellStart"/>
      <w:r w:rsidRPr="00404DA0">
        <w:rPr>
          <w:rFonts w:ascii="titilliumweb-r" w:eastAsia="Times New Roman" w:hAnsi="titilliumweb-r" w:cs="Times New Roman"/>
          <w:color w:val="212121"/>
          <w:sz w:val="24"/>
          <w:szCs w:val="24"/>
          <w:lang w:eastAsia="it-IT"/>
        </w:rPr>
        <w:t>autoimprenditoriali</w:t>
      </w:r>
      <w:proofErr w:type="spellEnd"/>
      <w:r w:rsidRPr="00404DA0">
        <w:rPr>
          <w:rFonts w:ascii="titilliumweb-r" w:eastAsia="Times New Roman" w:hAnsi="titilliumweb-r" w:cs="Times New Roman"/>
          <w:color w:val="212121"/>
          <w:sz w:val="24"/>
          <w:szCs w:val="24"/>
          <w:lang w:eastAsia="it-IT"/>
        </w:rPr>
        <w:t>, connesse alla fruizione dei beni culturali.</w:t>
      </w:r>
    </w:p>
    <w:p w14:paraId="50319923"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 I docenti: </w:t>
      </w:r>
    </w:p>
    <w:p w14:paraId="50319924"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xml:space="preserve">- Apprenderanno ad utilizzare nuovi ICT tools per la didattica interdisciplinare e non formale; </w:t>
      </w:r>
    </w:p>
    <w:p w14:paraId="50319925" w14:textId="77777777" w:rsidR="00D805B3" w:rsidRDefault="00D805B3" w:rsidP="00D805B3">
      <w:pPr>
        <w:spacing w:after="0" w:line="240" w:lineRule="auto"/>
        <w:jc w:val="both"/>
        <w:rPr>
          <w:rFonts w:ascii="titilliumweb-r" w:eastAsia="Times New Roman" w:hAnsi="titilliumweb-r" w:cs="Times New Roman"/>
          <w:color w:val="212121"/>
          <w:sz w:val="24"/>
          <w:szCs w:val="24"/>
          <w:lang w:eastAsia="it-IT"/>
        </w:rPr>
      </w:pPr>
      <w:r w:rsidRPr="00404DA0">
        <w:rPr>
          <w:rFonts w:ascii="titilliumweb-r" w:eastAsia="Times New Roman" w:hAnsi="titilliumweb-r" w:cs="Times New Roman"/>
          <w:color w:val="212121"/>
          <w:sz w:val="24"/>
          <w:szCs w:val="24"/>
          <w:lang w:eastAsia="it-IT"/>
        </w:rPr>
        <w:t>- Svilupperanno maggiore attitudine all'internazionalizzazione e maggiore consapevolezza dell’importanza della cittadinanza europea, della mobilità internazionale come opportunità e crescita umana e personale, della cultura dello scambio e della cooperazione.</w:t>
      </w:r>
    </w:p>
    <w:p w14:paraId="50319926" w14:textId="77777777" w:rsidR="00B84427" w:rsidRDefault="00B84427"/>
    <w:sectPr w:rsidR="00B844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web-sb">
    <w:altName w:val="Cambria"/>
    <w:panose1 w:val="00000000000000000000"/>
    <w:charset w:val="00"/>
    <w:family w:val="roman"/>
    <w:notTrueType/>
    <w:pitch w:val="default"/>
  </w:font>
  <w:font w:name="titilliumweb-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043"/>
    <w:rsid w:val="003E2CC4"/>
    <w:rsid w:val="004C21B4"/>
    <w:rsid w:val="00B84427"/>
    <w:rsid w:val="00B85F40"/>
    <w:rsid w:val="00D805B3"/>
    <w:rsid w:val="00EC4043"/>
    <w:rsid w:val="00F916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990B"/>
  <w15:chartTrackingRefBased/>
  <w15:docId w15:val="{63779216-9252-4AF1-9F30-849CAF6B3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5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863</Words>
  <Characters>4925</Characters>
  <Application>Microsoft Office Word</Application>
  <DocSecurity>0</DocSecurity>
  <Lines>41</Lines>
  <Paragraphs>11</Paragraphs>
  <ScaleCrop>false</ScaleCrop>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Giovanni Corallo</cp:lastModifiedBy>
  <cp:revision>4</cp:revision>
  <dcterms:created xsi:type="dcterms:W3CDTF">2023-02-25T07:38:00Z</dcterms:created>
  <dcterms:modified xsi:type="dcterms:W3CDTF">2023-05-07T14:54:00Z</dcterms:modified>
</cp:coreProperties>
</file>